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003F3">
        <w:rPr>
          <w:rFonts w:ascii="Times New Roman" w:hAnsi="Times New Roman" w:cs="Times New Roman"/>
          <w:b/>
          <w:sz w:val="24"/>
          <w:szCs w:val="24"/>
        </w:rPr>
        <w:t>za razdjel 025 Ministarstvo financija, glava 05 Ministarstvo financija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F3" w:rsidRDefault="005C1418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daje se opća slika financijskog plana </w:t>
      </w:r>
      <w:r w:rsidR="004003F3">
        <w:rPr>
          <w:rFonts w:ascii="Times New Roman" w:hAnsi="Times New Roman" w:cs="Times New Roman"/>
          <w:sz w:val="24"/>
          <w:szCs w:val="24"/>
        </w:rPr>
        <w:t xml:space="preserve">za razdjel 025 Ministarstvo financija, glava 05 Ministarstvo financija </w:t>
      </w:r>
      <w:r>
        <w:rPr>
          <w:rFonts w:ascii="Times New Roman" w:hAnsi="Times New Roman" w:cs="Times New Roman"/>
          <w:sz w:val="24"/>
          <w:szCs w:val="24"/>
        </w:rPr>
        <w:t>kroz obrazloženje ukupnih prihoda, primitaka, rashoda, izdataka, prijenosa sredstava iz prethodne</w:t>
      </w:r>
      <w:r w:rsidR="004003F3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003F3">
        <w:rPr>
          <w:rFonts w:ascii="Times New Roman" w:hAnsi="Times New Roman" w:cs="Times New Roman"/>
          <w:sz w:val="24"/>
          <w:szCs w:val="24"/>
        </w:rPr>
        <w:t xml:space="preserve"> prijenosa sredstava </w:t>
      </w:r>
      <w:r>
        <w:rPr>
          <w:rFonts w:ascii="Times New Roman" w:hAnsi="Times New Roman" w:cs="Times New Roman"/>
          <w:sz w:val="24"/>
          <w:szCs w:val="24"/>
        </w:rPr>
        <w:t>u sljedeću godinu</w:t>
      </w:r>
      <w:r w:rsidR="004003F3">
        <w:rPr>
          <w:rFonts w:ascii="Times New Roman" w:hAnsi="Times New Roman" w:cs="Times New Roman"/>
          <w:sz w:val="24"/>
          <w:szCs w:val="24"/>
        </w:rPr>
        <w:t xml:space="preserve"> te stanje ukupnih obveza na dan 31. prosinca 2021. i</w:t>
      </w:r>
      <w:r w:rsidR="001650A7">
        <w:rPr>
          <w:rFonts w:ascii="Times New Roman" w:hAnsi="Times New Roman" w:cs="Times New Roman"/>
          <w:sz w:val="24"/>
          <w:szCs w:val="24"/>
        </w:rPr>
        <w:t xml:space="preserve"> 30.lipnja </w:t>
      </w:r>
      <w:r w:rsidR="004003F3">
        <w:rPr>
          <w:rFonts w:ascii="Times New Roman" w:hAnsi="Times New Roman" w:cs="Times New Roman"/>
          <w:sz w:val="24"/>
          <w:szCs w:val="24"/>
        </w:rPr>
        <w:t xml:space="preserve">2022. </w:t>
      </w:r>
    </w:p>
    <w:p w:rsidR="004003F3" w:rsidRDefault="004003F3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1650A7" w:rsidRDefault="004003F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prihodi po svim izvorima za glavu 05 Ministarstvo financija iznose 40.001.860 </w:t>
      </w:r>
      <w:r w:rsidR="001650A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0A7" w:rsidRDefault="004003F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ukupno planiranim prihodima</w:t>
      </w:r>
      <w:r w:rsidR="001650A7">
        <w:rPr>
          <w:rFonts w:ascii="Times New Roman" w:hAnsi="Times New Roman" w:cs="Times New Roman"/>
          <w:sz w:val="24"/>
          <w:szCs w:val="24"/>
        </w:rPr>
        <w:t xml:space="preserve"> u 2023.</w:t>
      </w:r>
      <w:r>
        <w:rPr>
          <w:rFonts w:ascii="Times New Roman" w:hAnsi="Times New Roman" w:cs="Times New Roman"/>
          <w:sz w:val="24"/>
          <w:szCs w:val="24"/>
        </w:rPr>
        <w:t xml:space="preserve"> 98,36%</w:t>
      </w:r>
      <w:r w:rsidR="001650A7">
        <w:rPr>
          <w:rFonts w:ascii="Times New Roman" w:hAnsi="Times New Roman" w:cs="Times New Roman"/>
          <w:sz w:val="24"/>
          <w:szCs w:val="24"/>
        </w:rPr>
        <w:t xml:space="preserve"> prihoda</w:t>
      </w:r>
      <w:r>
        <w:rPr>
          <w:rFonts w:ascii="Times New Roman" w:hAnsi="Times New Roman" w:cs="Times New Roman"/>
          <w:sz w:val="24"/>
          <w:szCs w:val="24"/>
        </w:rPr>
        <w:t xml:space="preserve"> odnosi se na prihode iz proračuna</w:t>
      </w:r>
      <w:r w:rsidR="001650A7">
        <w:rPr>
          <w:rFonts w:ascii="Times New Roman" w:hAnsi="Times New Roman" w:cs="Times New Roman"/>
          <w:sz w:val="24"/>
          <w:szCs w:val="24"/>
        </w:rPr>
        <w:t xml:space="preserve">. U sljedeće dvije godine prihodi iz proračuna čine više od 99% strukture svih prihoda. </w:t>
      </w:r>
    </w:p>
    <w:p w:rsidR="004003F3" w:rsidRDefault="004003F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iz inozemstva</w:t>
      </w:r>
      <w:r w:rsidR="003166B9">
        <w:rPr>
          <w:rFonts w:ascii="Times New Roman" w:hAnsi="Times New Roman" w:cs="Times New Roman"/>
          <w:sz w:val="24"/>
          <w:szCs w:val="24"/>
        </w:rPr>
        <w:t xml:space="preserve"> (darovnice) i od subjekata unutar općeg proračuna u financijskom planu za 2023. zastupljene su s 1,56%</w:t>
      </w:r>
      <w:r w:rsidR="001650A7">
        <w:rPr>
          <w:rFonts w:ascii="Times New Roman" w:hAnsi="Times New Roman" w:cs="Times New Roman"/>
          <w:sz w:val="24"/>
          <w:szCs w:val="24"/>
        </w:rPr>
        <w:t xml:space="preserve">, a u </w:t>
      </w:r>
      <w:r w:rsidR="003166B9">
        <w:rPr>
          <w:rFonts w:ascii="Times New Roman" w:hAnsi="Times New Roman" w:cs="Times New Roman"/>
          <w:sz w:val="24"/>
          <w:szCs w:val="24"/>
        </w:rPr>
        <w:t>sljedećim godinama zastupljenost s</w:t>
      </w:r>
      <w:r w:rsidR="001650A7">
        <w:rPr>
          <w:rFonts w:ascii="Times New Roman" w:hAnsi="Times New Roman" w:cs="Times New Roman"/>
          <w:sz w:val="24"/>
          <w:szCs w:val="24"/>
        </w:rPr>
        <w:t>e smanjuje</w:t>
      </w:r>
      <w:r w:rsidR="003166B9">
        <w:rPr>
          <w:rFonts w:ascii="Times New Roman" w:hAnsi="Times New Roman" w:cs="Times New Roman"/>
          <w:sz w:val="24"/>
          <w:szCs w:val="24"/>
        </w:rPr>
        <w:t xml:space="preserve"> na 0,45% i 0,42% zbog završetka provođenja projekata financiranih iz Europskog fonda za regionalni razvoj (EFRR) i Europskog socijalnog fonda (ESF).</w:t>
      </w:r>
    </w:p>
    <w:p w:rsidR="004003F3" w:rsidRDefault="004003F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166B9" w:rsidRDefault="003166B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rashodi po svim izvorima za glavu 05 Ministarstvo financija iznose 40.001.860 </w:t>
      </w:r>
      <w:r w:rsidR="001650A7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0A7" w:rsidRDefault="001650A7" w:rsidP="001650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planiranih rashoda najveći dio kroz sve godine odnosi se na materijalne rashode koji najvećim dijelom uključuju rashode za usluge i rashode za materijal i energiju.</w:t>
      </w:r>
    </w:p>
    <w:p w:rsidR="00D218A0" w:rsidRDefault="00D218A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ukupnih rashoda planirani su programi 2203 Up</w:t>
      </w:r>
      <w:r w:rsidRPr="001650A7">
        <w:rPr>
          <w:rFonts w:ascii="Times New Roman" w:hAnsi="Times New Roman" w:cs="Times New Roman"/>
          <w:i/>
          <w:sz w:val="24"/>
          <w:szCs w:val="24"/>
        </w:rPr>
        <w:t>ravljanje sustavom javnih financija</w:t>
      </w:r>
      <w:r>
        <w:rPr>
          <w:rFonts w:ascii="Times New Roman" w:hAnsi="Times New Roman" w:cs="Times New Roman"/>
          <w:sz w:val="24"/>
          <w:szCs w:val="24"/>
        </w:rPr>
        <w:t xml:space="preserve"> i 2207 </w:t>
      </w:r>
      <w:r w:rsidRPr="001650A7">
        <w:rPr>
          <w:rFonts w:ascii="Times New Roman" w:hAnsi="Times New Roman" w:cs="Times New Roman"/>
          <w:i/>
          <w:sz w:val="24"/>
          <w:szCs w:val="24"/>
        </w:rPr>
        <w:t>Djelatnost carinskog i poreznog sustava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30C">
        <w:rPr>
          <w:rFonts w:ascii="Times New Roman" w:hAnsi="Times New Roman" w:cs="Times New Roman"/>
          <w:sz w:val="24"/>
          <w:szCs w:val="24"/>
        </w:rPr>
        <w:t>59,87% rashoda u 2023. odnosi se na program Upravljanje sustavom javnih financija, a 40,13% se odnosi na Djelatnost carinskog i poreznog sustava.</w:t>
      </w:r>
    </w:p>
    <w:p w:rsidR="00967617" w:rsidRDefault="0096761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23164A" w:rsidRDefault="001C4D3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iznos prenesenih sredstava iz 2022. u 2023. iznosi 20.065 EUR</w:t>
      </w:r>
      <w:r w:rsidR="001650A7">
        <w:rPr>
          <w:rFonts w:ascii="Times New Roman" w:hAnsi="Times New Roman" w:cs="Times New Roman"/>
          <w:sz w:val="24"/>
          <w:szCs w:val="24"/>
        </w:rPr>
        <w:t>.</w:t>
      </w:r>
    </w:p>
    <w:p w:rsidR="00186B7B" w:rsidRPr="003449B8" w:rsidRDefault="0023164A" w:rsidP="00BD5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B8">
        <w:rPr>
          <w:rFonts w:ascii="Times New Roman" w:hAnsi="Times New Roman" w:cs="Times New Roman"/>
          <w:sz w:val="24"/>
          <w:szCs w:val="24"/>
        </w:rPr>
        <w:t xml:space="preserve">Najveći dio odnosi se na </w:t>
      </w:r>
      <w:r w:rsidRPr="003449B8">
        <w:rPr>
          <w:rFonts w:ascii="Times New Roman" w:hAnsi="Times New Roman" w:cs="Times New Roman"/>
          <w:i/>
          <w:sz w:val="24"/>
          <w:szCs w:val="24"/>
        </w:rPr>
        <w:t>Ostale prihode za ostale namjene</w:t>
      </w:r>
      <w:r w:rsidRPr="003449B8">
        <w:rPr>
          <w:rFonts w:ascii="Times New Roman" w:hAnsi="Times New Roman" w:cs="Times New Roman"/>
          <w:sz w:val="24"/>
          <w:szCs w:val="24"/>
        </w:rPr>
        <w:t xml:space="preserve"> koj</w:t>
      </w:r>
      <w:r w:rsidR="00BD5BEA" w:rsidRPr="003449B8">
        <w:rPr>
          <w:rFonts w:ascii="Times New Roman" w:hAnsi="Times New Roman" w:cs="Times New Roman"/>
          <w:sz w:val="24"/>
          <w:szCs w:val="24"/>
        </w:rPr>
        <w:t xml:space="preserve">e ostvaruje </w:t>
      </w:r>
      <w:r w:rsidRPr="003449B8">
        <w:rPr>
          <w:rFonts w:ascii="Times New Roman" w:hAnsi="Times New Roman" w:cs="Times New Roman"/>
          <w:sz w:val="24"/>
          <w:szCs w:val="24"/>
          <w:shd w:val="clear" w:color="auto" w:fill="FFFFFF"/>
        </w:rPr>
        <w:t>Samostalni sektor za izdavanje odobrenja za rad i nadzor ovlaštenih revizora i revizorskih društava</w:t>
      </w:r>
      <w:r w:rsidRPr="003449B8">
        <w:rPr>
          <w:rFonts w:ascii="Times New Roman" w:hAnsi="Times New Roman" w:cs="Times New Roman"/>
          <w:sz w:val="24"/>
          <w:szCs w:val="24"/>
        </w:rPr>
        <w:t xml:space="preserve"> </w:t>
      </w:r>
      <w:r w:rsidR="00BD5BEA" w:rsidRPr="003449B8">
        <w:rPr>
          <w:rFonts w:ascii="Times New Roman" w:hAnsi="Times New Roman" w:cs="Times New Roman"/>
          <w:sz w:val="24"/>
          <w:szCs w:val="24"/>
        </w:rPr>
        <w:t xml:space="preserve">temeljem </w:t>
      </w:r>
      <w:r w:rsidR="003449B8">
        <w:rPr>
          <w:rFonts w:ascii="Times New Roman" w:hAnsi="Times New Roman" w:cs="Times New Roman"/>
          <w:sz w:val="24"/>
          <w:szCs w:val="24"/>
        </w:rPr>
        <w:t xml:space="preserve">Zakona o reviziji (NN br. 127/17) i Pravilnika o izdavanju odobrenja za rad ovlaštenom revizoru i revizorskom društvu (NN br. 27/19 i 51/21). Riječ je o namjenskim prihodima </w:t>
      </w:r>
      <w:r w:rsidR="003449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državnog proračuna koji se koriste za </w:t>
      </w:r>
      <w:r w:rsidR="00BD5BEA" w:rsidRPr="003449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edukaciju ovlaštenih državnih službenika Ministarstva financija radi stjecanja specifičnih znanja iz područja nadzora, naknade za rad članovima savjetodavnog vijeća i vanjskim stručnjacima, za troškove službenog puta u vezi s obavljanjem nadzora te za programska rješenja potrebna za obavljanje</w:t>
      </w:r>
      <w:r w:rsidR="003449B8" w:rsidRPr="003449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zadaća propisanih </w:t>
      </w:r>
      <w:r w:rsidR="003449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temeljnim</w:t>
      </w:r>
      <w:r w:rsidR="003449B8" w:rsidRPr="003449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Zakonom. Zbog nedostatka broja zaposlenih u nadležnoj ustrojstvenoj jedinici nije bilo moguće u cijelosti iskoristiti predmetne prihode te će oni biti iskorišteni u narednim razdobljima.  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p w:rsidR="00186B7B" w:rsidRDefault="0096761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ukupnih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</w:t>
      </w:r>
      <w:r w:rsidR="00155830">
        <w:rPr>
          <w:rFonts w:ascii="Times New Roman" w:hAnsi="Times New Roman" w:cs="Times New Roman"/>
          <w:sz w:val="24"/>
          <w:szCs w:val="24"/>
        </w:rPr>
        <w:t xml:space="preserve">nedospjelih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obveza </w:t>
      </w:r>
      <w:r>
        <w:rPr>
          <w:rFonts w:ascii="Times New Roman" w:hAnsi="Times New Roman" w:cs="Times New Roman"/>
          <w:sz w:val="24"/>
          <w:szCs w:val="24"/>
        </w:rPr>
        <w:t>za glavu 05 Ministarstvo financija</w:t>
      </w:r>
      <w:r w:rsidR="00F70550">
        <w:rPr>
          <w:rFonts w:ascii="Times New Roman" w:hAnsi="Times New Roman" w:cs="Times New Roman"/>
          <w:sz w:val="24"/>
          <w:szCs w:val="24"/>
        </w:rPr>
        <w:t xml:space="preserve">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 w:rsidR="0015583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iznosi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10.336.277,44 kn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34">
        <w:rPr>
          <w:rFonts w:ascii="Times New Roman" w:hAnsi="Times New Roman" w:cs="Times New Roman"/>
          <w:sz w:val="24"/>
          <w:szCs w:val="24"/>
        </w:rPr>
        <w:t>Najveći dio nedospjelih obveza na dan 3</w:t>
      </w:r>
      <w:r w:rsidR="001650A7">
        <w:rPr>
          <w:rFonts w:ascii="Times New Roman" w:hAnsi="Times New Roman" w:cs="Times New Roman"/>
          <w:sz w:val="24"/>
          <w:szCs w:val="24"/>
        </w:rPr>
        <w:t xml:space="preserve">1. prosinca </w:t>
      </w:r>
      <w:r w:rsidR="001C4D34">
        <w:rPr>
          <w:rFonts w:ascii="Times New Roman" w:hAnsi="Times New Roman" w:cs="Times New Roman"/>
          <w:sz w:val="24"/>
          <w:szCs w:val="24"/>
        </w:rPr>
        <w:t>2021. odnosi se na plaću za prosinac koja je bila isplaćena u siječnju 2022.</w:t>
      </w:r>
    </w:p>
    <w:p w:rsidR="001C4D34" w:rsidRDefault="001C4D3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ukupnih nedosp</w:t>
      </w:r>
      <w:r w:rsidR="001650A7">
        <w:rPr>
          <w:rFonts w:ascii="Times New Roman" w:hAnsi="Times New Roman" w:cs="Times New Roman"/>
          <w:sz w:val="24"/>
          <w:szCs w:val="24"/>
        </w:rPr>
        <w:t>jelih obveza na dan 30. lipnja 2022. i</w:t>
      </w:r>
      <w:r>
        <w:rPr>
          <w:rFonts w:ascii="Times New Roman" w:hAnsi="Times New Roman" w:cs="Times New Roman"/>
          <w:sz w:val="24"/>
          <w:szCs w:val="24"/>
        </w:rPr>
        <w:t>znosilo je 10.289.450,10 kn od čega se najveći dio odnosio na obveze za isplatu plaće za lipanj 2022. koja je bila isplaćena u srpnju 2022.</w:t>
      </w:r>
    </w:p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-10" w:type="dxa"/>
        <w:tblLook w:val="04A0" w:firstRow="1" w:lastRow="0" w:firstColumn="1" w:lastColumn="0" w:noHBand="0" w:noVBand="1"/>
      </w:tblPr>
      <w:tblGrid>
        <w:gridCol w:w="1070"/>
        <w:gridCol w:w="2131"/>
        <w:gridCol w:w="2124"/>
        <w:gridCol w:w="2131"/>
        <w:gridCol w:w="2124"/>
      </w:tblGrid>
      <w:tr w:rsidR="00155830" w:rsidRPr="00155830" w:rsidTr="00155830">
        <w:trPr>
          <w:trHeight w:val="63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31.12.2021.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31.12.2021. u EUR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30.06.2022.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na dan 30.06.2022. u EUR</w:t>
            </w:r>
          </w:p>
        </w:tc>
      </w:tr>
      <w:tr w:rsidR="00155830" w:rsidRPr="00155830" w:rsidTr="00155830">
        <w:trPr>
          <w:trHeight w:val="63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10.336.277,44 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1.371.859,77 EUR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10.289.450,10 kn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1.365.644,71 EUR</w:t>
            </w:r>
          </w:p>
        </w:tc>
      </w:tr>
      <w:tr w:rsidR="00155830" w:rsidRPr="00155830" w:rsidTr="00155830">
        <w:trPr>
          <w:trHeight w:val="63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30" w:rsidRPr="00155830" w:rsidRDefault="00155830" w:rsidP="00155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155830" w:rsidRPr="00F471E7" w:rsidRDefault="0015583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583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55830"/>
    <w:rsid w:val="001650A7"/>
    <w:rsid w:val="00186B7B"/>
    <w:rsid w:val="001C4D34"/>
    <w:rsid w:val="0023164A"/>
    <w:rsid w:val="00245B1D"/>
    <w:rsid w:val="0029735D"/>
    <w:rsid w:val="00297F7A"/>
    <w:rsid w:val="003166B9"/>
    <w:rsid w:val="003449B8"/>
    <w:rsid w:val="003A22DB"/>
    <w:rsid w:val="004003F3"/>
    <w:rsid w:val="00407290"/>
    <w:rsid w:val="00466878"/>
    <w:rsid w:val="005722A3"/>
    <w:rsid w:val="005C1418"/>
    <w:rsid w:val="00605080"/>
    <w:rsid w:val="00622F4E"/>
    <w:rsid w:val="00624C16"/>
    <w:rsid w:val="0072334A"/>
    <w:rsid w:val="00886D68"/>
    <w:rsid w:val="008D13B1"/>
    <w:rsid w:val="0094274B"/>
    <w:rsid w:val="00967617"/>
    <w:rsid w:val="00975BA7"/>
    <w:rsid w:val="009D7CA0"/>
    <w:rsid w:val="00AC288F"/>
    <w:rsid w:val="00AE2812"/>
    <w:rsid w:val="00B7793B"/>
    <w:rsid w:val="00BD5BEA"/>
    <w:rsid w:val="00BF44C6"/>
    <w:rsid w:val="00C508C3"/>
    <w:rsid w:val="00CA12E2"/>
    <w:rsid w:val="00D019AB"/>
    <w:rsid w:val="00D218A0"/>
    <w:rsid w:val="00D7230C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Brozić Puček</cp:lastModifiedBy>
  <cp:revision>2</cp:revision>
  <cp:lastPrinted>2022-10-17T09:24:00Z</cp:lastPrinted>
  <dcterms:created xsi:type="dcterms:W3CDTF">2023-03-01T14:00:00Z</dcterms:created>
  <dcterms:modified xsi:type="dcterms:W3CDTF">2023-03-01T14:00:00Z</dcterms:modified>
</cp:coreProperties>
</file>